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2622FAD" w:rsidR="00B123FF" w:rsidRPr="00455A3C" w:rsidRDefault="00C67B70" w:rsidP="00F60A53">
      <w:pPr>
        <w:pStyle w:val="F2-zkladn"/>
        <w:spacing w:line="276" w:lineRule="auto"/>
        <w:rPr>
          <w:b/>
          <w:sz w:val="28"/>
          <w:szCs w:val="28"/>
        </w:rPr>
      </w:pPr>
      <w:bookmarkStart w:id="0" w:name="_Hlk177547361"/>
      <w:bookmarkEnd w:id="0"/>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05958ECA"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716630">
        <w:t>8</w:t>
      </w:r>
      <w:r w:rsidR="005420B4" w:rsidRPr="00893890">
        <w:t>.</w:t>
      </w:r>
      <w:r w:rsidR="00296EFF">
        <w:t xml:space="preserve"> </w:t>
      </w:r>
      <w:r w:rsidR="009727AA">
        <w:t>ří</w:t>
      </w:r>
      <w:r w:rsidR="0067109A">
        <w:t>jen</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75349DD5" w14:textId="285CB71E" w:rsidR="004D79D4" w:rsidRDefault="0067109A" w:rsidP="00BE3711">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Výhled společnosti </w:t>
      </w:r>
      <w:r w:rsidR="00262CDC">
        <w:rPr>
          <w:rStyle w:val="normaltextrun"/>
          <w:rFonts w:ascii="Arial" w:hAnsi="Arial" w:cs="Arial"/>
          <w:b/>
          <w:bCs/>
          <w:color w:val="000000"/>
          <w:sz w:val="28"/>
          <w:szCs w:val="28"/>
          <w:lang w:val="cs-CZ"/>
        </w:rPr>
        <w:t>Fidelity International</w:t>
      </w:r>
      <w:r>
        <w:rPr>
          <w:rStyle w:val="normaltextrun"/>
          <w:rFonts w:ascii="Arial" w:hAnsi="Arial" w:cs="Arial"/>
          <w:b/>
          <w:bCs/>
          <w:color w:val="000000"/>
          <w:sz w:val="28"/>
          <w:szCs w:val="28"/>
          <w:lang w:val="cs-CZ"/>
        </w:rPr>
        <w:t xml:space="preserve"> na</w:t>
      </w:r>
      <w:r w:rsidR="00755878">
        <w:rPr>
          <w:rStyle w:val="normaltextrun"/>
          <w:rFonts w:ascii="Arial" w:hAnsi="Arial" w:cs="Arial"/>
          <w:b/>
          <w:bCs/>
          <w:color w:val="000000"/>
          <w:sz w:val="28"/>
          <w:szCs w:val="28"/>
          <w:lang w:val="cs-CZ"/>
        </w:rPr>
        <w:t xml:space="preserve"> 4. čtvrtletí</w:t>
      </w:r>
      <w:r>
        <w:rPr>
          <w:rStyle w:val="normaltextrun"/>
          <w:rFonts w:ascii="Arial" w:hAnsi="Arial" w:cs="Arial"/>
          <w:b/>
          <w:bCs/>
          <w:color w:val="000000"/>
          <w:sz w:val="28"/>
          <w:szCs w:val="28"/>
          <w:lang w:val="cs-CZ"/>
        </w:rPr>
        <w:t>: Před námi je hrbolatá cesta</w:t>
      </w:r>
    </w:p>
    <w:p w14:paraId="61504C6E" w14:textId="045885BD" w:rsidR="00DA3B92" w:rsidRDefault="0067109A" w:rsidP="0067109A">
      <w:pPr>
        <w:pStyle w:val="Odstavecseseznamem"/>
        <w:numPr>
          <w:ilvl w:val="0"/>
          <w:numId w:val="45"/>
        </w:numPr>
        <w:spacing w:line="276" w:lineRule="auto"/>
        <w:rPr>
          <w:rFonts w:asciiTheme="minorHAnsi" w:hAnsiTheme="minorHAnsi" w:cstheme="minorHAnsi"/>
          <w:b/>
          <w:bCs/>
          <w:sz w:val="24"/>
          <w:szCs w:val="24"/>
        </w:rPr>
      </w:pPr>
      <w:r>
        <w:rPr>
          <w:rFonts w:asciiTheme="minorHAnsi" w:hAnsiTheme="minorHAnsi" w:cstheme="minorHAnsi"/>
          <w:b/>
          <w:bCs/>
          <w:sz w:val="24"/>
          <w:szCs w:val="24"/>
        </w:rPr>
        <w:t>Vyšší volatilita pokračuje, nicméně základním scénářem pořád zůstává měkké přistání.</w:t>
      </w:r>
    </w:p>
    <w:p w14:paraId="11298D63" w14:textId="6A079AA4" w:rsidR="0067109A" w:rsidRDefault="0067109A" w:rsidP="0067109A">
      <w:pPr>
        <w:pStyle w:val="Odstavecseseznamem"/>
        <w:numPr>
          <w:ilvl w:val="0"/>
          <w:numId w:val="45"/>
        </w:numPr>
        <w:spacing w:line="276" w:lineRule="auto"/>
        <w:rPr>
          <w:rFonts w:asciiTheme="minorHAnsi" w:hAnsiTheme="minorHAnsi" w:cstheme="minorHAnsi"/>
          <w:b/>
          <w:bCs/>
          <w:sz w:val="24"/>
          <w:szCs w:val="24"/>
        </w:rPr>
      </w:pPr>
      <w:r>
        <w:rPr>
          <w:rFonts w:asciiTheme="minorHAnsi" w:hAnsiTheme="minorHAnsi" w:cstheme="minorHAnsi"/>
          <w:b/>
          <w:bCs/>
          <w:sz w:val="24"/>
          <w:szCs w:val="24"/>
        </w:rPr>
        <w:t>Další měnová a vládní podpora se bude snažit zmírnit případné výkyvy v ekonomice.</w:t>
      </w:r>
    </w:p>
    <w:p w14:paraId="4E921839" w14:textId="4579B8A3" w:rsidR="0067109A" w:rsidRPr="0067109A" w:rsidRDefault="0067109A" w:rsidP="0067109A">
      <w:pPr>
        <w:pStyle w:val="Odstavecseseznamem"/>
        <w:numPr>
          <w:ilvl w:val="0"/>
          <w:numId w:val="45"/>
        </w:numPr>
        <w:spacing w:line="276" w:lineRule="auto"/>
        <w:rPr>
          <w:rFonts w:asciiTheme="minorHAnsi" w:hAnsiTheme="minorHAnsi" w:cstheme="minorHAnsi"/>
          <w:b/>
          <w:bCs/>
          <w:sz w:val="24"/>
          <w:szCs w:val="24"/>
        </w:rPr>
      </w:pPr>
      <w:r>
        <w:rPr>
          <w:rFonts w:asciiTheme="minorHAnsi" w:hAnsiTheme="minorHAnsi" w:cstheme="minorHAnsi"/>
          <w:b/>
          <w:bCs/>
          <w:sz w:val="24"/>
          <w:szCs w:val="24"/>
        </w:rPr>
        <w:t>Americké „mid-caps“ a státní dluhopisy rozvíjejících se trhů jsou dvě rizikovější oblasti, které mohou v současné situaci dosahovat dobrých výsledků.</w:t>
      </w:r>
    </w:p>
    <w:p w14:paraId="0E7CA406" w14:textId="77777777" w:rsidR="006B41DF" w:rsidRDefault="0067109A" w:rsidP="006B41DF">
      <w:pPr>
        <w:spacing w:line="360" w:lineRule="auto"/>
        <w:rPr>
          <w:color w:val="20242B"/>
          <w:shd w:val="clear" w:color="auto" w:fill="FFFFFF"/>
        </w:rPr>
      </w:pPr>
      <w:r>
        <w:rPr>
          <w:color w:val="20242B"/>
          <w:shd w:val="clear" w:color="auto" w:fill="FFFFFF"/>
        </w:rPr>
        <w:t xml:space="preserve">Po pěti letech, kdy se kola globální ekonomiky točila díky vydatné podpoře vlád, ses vracíme zpátky na zem. Trhy a </w:t>
      </w:r>
      <w:r w:rsidR="006B41DF">
        <w:rPr>
          <w:color w:val="20242B"/>
          <w:shd w:val="clear" w:color="auto" w:fill="FFFFFF"/>
        </w:rPr>
        <w:t xml:space="preserve">globální ekonomika už od pandemie prokázaly odolnost, ale v posledních měsících se zvyšuje volatilita. </w:t>
      </w:r>
    </w:p>
    <w:p w14:paraId="782E2B25" w14:textId="5EAD2AF5" w:rsidR="006B41DF" w:rsidRDefault="006B41DF" w:rsidP="006B41DF">
      <w:pPr>
        <w:spacing w:line="360" w:lineRule="auto"/>
        <w:rPr>
          <w:color w:val="20242B"/>
          <w:shd w:val="clear" w:color="auto" w:fill="FFFFFF"/>
        </w:rPr>
      </w:pPr>
      <w:r w:rsidRPr="006B41DF">
        <w:rPr>
          <w:color w:val="20242B"/>
          <w:shd w:val="clear" w:color="auto" w:fill="FFFFFF"/>
        </w:rPr>
        <w:t xml:space="preserve">Henk-Jan Rikkerink, globální ředitel divize Solutions &amp; Multi Asset ve společnosti Fidelity International, nastiňuje svá očekávání ohledně vývoje na trhu při vstupu do posledního čtvrtletí roku 2024. </w:t>
      </w:r>
    </w:p>
    <w:p w14:paraId="1CAF837B" w14:textId="77777777" w:rsidR="006B41DF" w:rsidRPr="006B41DF" w:rsidRDefault="006B41DF" w:rsidP="006B41DF">
      <w:pPr>
        <w:pStyle w:val="Normlnweb"/>
        <w:shd w:val="clear" w:color="auto" w:fill="FEFEFE"/>
        <w:spacing w:line="360" w:lineRule="auto"/>
        <w:rPr>
          <w:i/>
          <w:iCs/>
          <w:color w:val="20242B"/>
          <w:shd w:val="clear" w:color="auto" w:fill="FFFFFF"/>
        </w:rPr>
      </w:pPr>
      <w:r w:rsidRPr="006B41DF">
        <w:rPr>
          <w:i/>
          <w:iCs/>
          <w:color w:val="20242B"/>
          <w:shd w:val="clear" w:color="auto" w:fill="FFFFFF"/>
        </w:rPr>
        <w:t xml:space="preserve">„V tuto chvíli se domníváme, že horší data z nedávné doby spíše naznačují jen slabší období než vážný pokles, nicméně investoři reagují a my pozorně sledujeme ukazatele růstu a trh práce, zda se zde neobjeví známky dalšího zhoršení.“ </w:t>
      </w:r>
    </w:p>
    <w:p w14:paraId="66C35F7A" w14:textId="77777777" w:rsidR="006B41DF" w:rsidRPr="006B41DF" w:rsidRDefault="006B41DF" w:rsidP="006B41DF">
      <w:pPr>
        <w:pStyle w:val="Normlnweb"/>
        <w:shd w:val="clear" w:color="auto" w:fill="FEFEFE"/>
        <w:spacing w:line="360" w:lineRule="auto"/>
        <w:rPr>
          <w:i/>
          <w:iCs/>
          <w:color w:val="20242B"/>
          <w:shd w:val="clear" w:color="auto" w:fill="FFFFFF"/>
        </w:rPr>
      </w:pPr>
      <w:r w:rsidRPr="006B41DF">
        <w:rPr>
          <w:i/>
          <w:iCs/>
          <w:color w:val="20242B"/>
          <w:shd w:val="clear" w:color="auto" w:fill="FFFFFF"/>
        </w:rPr>
        <w:t xml:space="preserve">„Věříme, že světová ekonomika nesměřuje k bezprostřední recesi, a pozorujeme známky toho, že máme před sebou spíše rotaci než vyloženě změnu směru.“  </w:t>
      </w:r>
    </w:p>
    <w:p w14:paraId="516F6332" w14:textId="77777777" w:rsidR="006B41DF" w:rsidRPr="006B41DF" w:rsidRDefault="006B41DF" w:rsidP="006B41DF">
      <w:pPr>
        <w:pStyle w:val="Normlnweb"/>
        <w:shd w:val="clear" w:color="auto" w:fill="FEFEFE"/>
        <w:spacing w:line="360" w:lineRule="auto"/>
        <w:rPr>
          <w:i/>
          <w:iCs/>
          <w:color w:val="20242B"/>
          <w:shd w:val="clear" w:color="auto" w:fill="FFFFFF"/>
        </w:rPr>
      </w:pPr>
      <w:r w:rsidRPr="006B41DF">
        <w:rPr>
          <w:i/>
          <w:iCs/>
          <w:color w:val="20242B"/>
          <w:shd w:val="clear" w:color="auto" w:fill="FFFFFF"/>
        </w:rPr>
        <w:t>„Centrální banky musely přiložit ruku k dílu, aby porazily inflaci, a většina důkazů z posledních měsíců potvrzuje, že se ji do značné míry podařilo zkrotit. Očekáváme, že bude vyšší a volatilnější, než tomu bylo v éře kvantitativního uvolňování, ale zdá se, že rizika stagflace z minulého roku byla úspěšně zažehnána.“</w:t>
      </w:r>
    </w:p>
    <w:p w14:paraId="3542CF59" w14:textId="65991B6A" w:rsidR="006B41DF" w:rsidRPr="006B41DF" w:rsidRDefault="006B41DF" w:rsidP="006B41DF">
      <w:pPr>
        <w:pStyle w:val="Normlnweb"/>
        <w:shd w:val="clear" w:color="auto" w:fill="FEFEFE"/>
        <w:spacing w:line="360" w:lineRule="auto"/>
        <w:rPr>
          <w:i/>
          <w:iCs/>
          <w:color w:val="20242B"/>
          <w:shd w:val="clear" w:color="auto" w:fill="FFFFFF"/>
        </w:rPr>
      </w:pPr>
      <w:r w:rsidRPr="006B41DF">
        <w:rPr>
          <w:i/>
          <w:iCs/>
          <w:color w:val="20242B"/>
          <w:shd w:val="clear" w:color="auto" w:fill="FFFFFF"/>
        </w:rPr>
        <w:t xml:space="preserve">„Cenou za to je, že americký trh práce zvolna oslabuje a domácím spotřebitelům dochází dech – přesněji řečeno úspory. Velmi pozorně sledujeme, zda se neobjeví známky dalších škod. Na druhé straně Tichého oceánu jsou čínské problémy také ještě daleko od vyřešení. Pozorně sledujeme, jak dopadne oznámení čínské centrální banky o ekonomických stimulech. “  </w:t>
      </w:r>
    </w:p>
    <w:p w14:paraId="62FCF0D2" w14:textId="77777777" w:rsidR="006B41DF" w:rsidRPr="006B41DF" w:rsidRDefault="006B41DF" w:rsidP="006B41DF">
      <w:pPr>
        <w:pStyle w:val="F2-zkladn"/>
      </w:pPr>
    </w:p>
    <w:p w14:paraId="0CEC625D" w14:textId="1E3A1571" w:rsidR="001D4CF8" w:rsidRDefault="001D4CF8" w:rsidP="001D4CF8">
      <w:pPr>
        <w:pStyle w:val="FIL3Body"/>
        <w:spacing w:line="360" w:lineRule="auto"/>
        <w:jc w:val="both"/>
        <w:rPr>
          <w:rFonts w:cs="Arial"/>
          <w:color w:val="20242B"/>
          <w:sz w:val="20"/>
          <w:szCs w:val="20"/>
          <w:shd w:val="clear" w:color="auto" w:fill="FFFFFF"/>
          <w:lang w:val="cs-CZ" w:eastAsia="cs-CZ"/>
        </w:rPr>
      </w:pPr>
    </w:p>
    <w:p w14:paraId="2DC32760" w14:textId="5452169E" w:rsidR="00DA3B92" w:rsidRPr="001D4CF8" w:rsidRDefault="00755878" w:rsidP="001D4CF8">
      <w:pPr>
        <w:pStyle w:val="FIL3Body"/>
        <w:spacing w:line="360" w:lineRule="auto"/>
        <w:jc w:val="both"/>
        <w:rPr>
          <w:rFonts w:cs="Arial"/>
          <w:color w:val="20242B"/>
          <w:sz w:val="20"/>
          <w:szCs w:val="20"/>
          <w:shd w:val="clear" w:color="auto" w:fill="FFFFFF"/>
          <w:lang w:val="cs-CZ" w:eastAsia="cs-CZ"/>
        </w:rPr>
      </w:pPr>
      <w:r>
        <w:rPr>
          <w:rFonts w:cs="Arial"/>
          <w:b/>
          <w:bCs/>
          <w:color w:val="20242B"/>
          <w:sz w:val="20"/>
          <w:szCs w:val="20"/>
          <w:shd w:val="clear" w:color="auto" w:fill="FFFFFF"/>
          <w:lang w:val="cs-CZ" w:eastAsia="cs-CZ"/>
        </w:rPr>
        <w:lastRenderedPageBreak/>
        <w:t>FED</w:t>
      </w:r>
      <w:r w:rsidR="006B41DF">
        <w:rPr>
          <w:rFonts w:cs="Arial"/>
          <w:b/>
          <w:bCs/>
          <w:color w:val="20242B"/>
          <w:sz w:val="20"/>
          <w:szCs w:val="20"/>
          <w:shd w:val="clear" w:color="auto" w:fill="FFFFFF"/>
          <w:lang w:val="cs-CZ" w:eastAsia="cs-CZ"/>
        </w:rPr>
        <w:t xml:space="preserve"> vrací úder</w:t>
      </w:r>
    </w:p>
    <w:p w14:paraId="681E191E" w14:textId="77777777" w:rsidR="006B41DF" w:rsidRPr="006B41DF" w:rsidRDefault="006B41DF" w:rsidP="006B41DF">
      <w:pPr>
        <w:pStyle w:val="Normlnweb"/>
        <w:shd w:val="clear" w:color="auto" w:fill="FEFEFE"/>
        <w:spacing w:before="0" w:line="360" w:lineRule="auto"/>
        <w:rPr>
          <w:i/>
          <w:iCs/>
          <w:color w:val="20242B"/>
          <w:shd w:val="clear" w:color="auto" w:fill="FFFFFF"/>
        </w:rPr>
      </w:pPr>
      <w:r w:rsidRPr="006B41DF">
        <w:rPr>
          <w:i/>
          <w:iCs/>
          <w:color w:val="20242B"/>
          <w:shd w:val="clear" w:color="auto" w:fill="FFFFFF"/>
        </w:rPr>
        <w:t>„Zářijové snížení amerických a dalších úrokových sazeb dává naději, že se situace zklidní. Rozsah dalšího uvolňování měnové politiky v letošním roce je stále otázkou, ale Fed reaguje a když se zbaví strachu z vyšší hladiny inflace, tak v tom bude pokračovat.“</w:t>
      </w:r>
    </w:p>
    <w:p w14:paraId="538B43FD" w14:textId="77777777" w:rsidR="006B41DF" w:rsidRDefault="006B41DF" w:rsidP="006B41DF">
      <w:pPr>
        <w:pStyle w:val="Normlnweb"/>
        <w:shd w:val="clear" w:color="auto" w:fill="FEFEFE"/>
        <w:spacing w:line="360" w:lineRule="auto"/>
        <w:rPr>
          <w:i/>
          <w:iCs/>
          <w:color w:val="20242B"/>
          <w:shd w:val="clear" w:color="auto" w:fill="FFFFFF"/>
        </w:rPr>
      </w:pPr>
      <w:r w:rsidRPr="006B41DF">
        <w:rPr>
          <w:i/>
          <w:iCs/>
          <w:color w:val="20242B"/>
          <w:shd w:val="clear" w:color="auto" w:fill="FFFFFF"/>
        </w:rPr>
        <w:t>„V Číně by v krátkodobém horizontu nedávný stimulační balíček představený Čínskou lidovou bankou, který snížil úrokové sazby, sazby hypoték a zavedl nové měnové nástroje na podporu akciového trhu, mohl mít pozitivní dopad na ceny aktiv. Dlouhodobou výkonnost akcií však určují zisky podniků, a to se teprve ukáže, jestli tato nejnovější opatření budou stačit k posílení dlouhodobého hospodářského výhledu. “</w:t>
      </w:r>
    </w:p>
    <w:p w14:paraId="318E403C" w14:textId="5747EC18" w:rsidR="001D4CF8" w:rsidRDefault="006B41DF" w:rsidP="007E2841">
      <w:pPr>
        <w:pStyle w:val="Normlnweb"/>
        <w:shd w:val="clear" w:color="auto" w:fill="FEFEFE"/>
        <w:spacing w:line="360" w:lineRule="auto"/>
        <w:rPr>
          <w:i/>
          <w:iCs/>
          <w:color w:val="20242B"/>
          <w:shd w:val="clear" w:color="auto" w:fill="FFFFFF"/>
        </w:rPr>
      </w:pPr>
      <w:r w:rsidRPr="006B41DF">
        <w:rPr>
          <w:i/>
          <w:iCs/>
          <w:color w:val="20242B"/>
          <w:shd w:val="clear" w:color="auto" w:fill="FFFFFF"/>
        </w:rPr>
        <w:t>„Směr vývoje je jasný: míříme k dalšímu cyklu měnové a vládní podpory, která se bude snažit zmírnit případné výkyvy v ekonomice. Investoři se přizpůsobují poklesu sazeb a naše kvantitativní modely již neobhajují prorizikový postoj. Budeme se snažit využít případných poklesů trhu nebo vrcholů volební nejistoty, protože ceny směřují k cyklickému vzestupu inspirovanému Fedem. Prozatím jsou americké „mid-caps“ a vládní dluhopisy rozvíjejících se trhů dvě rizikovější aktiva, která podle nás budou nyní dobře fungovat. “</w:t>
      </w:r>
    </w:p>
    <w:p w14:paraId="54893CE3" w14:textId="5EED0F12" w:rsidR="008A2C50" w:rsidRDefault="007E2841" w:rsidP="001D4CF8">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br/>
        <w:t>Globální obavy</w:t>
      </w:r>
    </w:p>
    <w:p w14:paraId="573676DB" w14:textId="77777777" w:rsidR="007E2841" w:rsidRPr="007E2841" w:rsidRDefault="007E2841" w:rsidP="007E2841">
      <w:pPr>
        <w:pStyle w:val="Normlnweb"/>
        <w:shd w:val="clear" w:color="auto" w:fill="FEFEFE"/>
        <w:spacing w:before="0" w:line="360" w:lineRule="auto"/>
        <w:rPr>
          <w:i/>
          <w:iCs/>
          <w:color w:val="20242B"/>
          <w:shd w:val="clear" w:color="auto" w:fill="FFFFFF"/>
        </w:rPr>
      </w:pPr>
      <w:r w:rsidRPr="007E2841">
        <w:rPr>
          <w:i/>
          <w:iCs/>
          <w:color w:val="20242B"/>
          <w:shd w:val="clear" w:color="auto" w:fill="FFFFFF"/>
        </w:rPr>
        <w:t>„Divokou kartou je celkově složitější kombinace geopolitických rizik. Nebyli jsme jediní, kdo před rokem poznamenal, že rok 2024 bude nejvýznamnější rokem pro volby a pro politická rizika za poslední desetiletí. Úspěchy krajní pravice v Německu a Francii vyvolaly v evropské politice otřesy, které mohou brzdit rozhodování v EU. Konflikty na Blízkém východě a na Ukrajině pokračují a jejich konec je v nedohlednu a 5. listopadu se konají volby v USA. Důležitá bude politika vůči Číně a následný obchod, stejně jako podoba fiskální politiky v době, kdy se omezování dlouho přebytečné likvidity na trzích stalo skutečností.</w:t>
      </w:r>
      <w:r>
        <w:rPr>
          <w:i/>
          <w:iCs/>
          <w:color w:val="20242B"/>
          <w:shd w:val="clear" w:color="auto" w:fill="FFFFFF"/>
        </w:rPr>
        <w:t>“</w:t>
      </w:r>
      <w:r>
        <w:rPr>
          <w:i/>
          <w:iCs/>
          <w:color w:val="20242B"/>
          <w:shd w:val="clear" w:color="auto" w:fill="FFFFFF"/>
        </w:rPr>
        <w:br/>
      </w:r>
      <w:r>
        <w:rPr>
          <w:i/>
          <w:iCs/>
          <w:color w:val="20242B"/>
          <w:shd w:val="clear" w:color="auto" w:fill="FFFFFF"/>
        </w:rPr>
        <w:br/>
      </w:r>
      <w:r w:rsidRPr="007E2841">
        <w:rPr>
          <w:i/>
          <w:iCs/>
          <w:color w:val="20242B"/>
          <w:shd w:val="clear" w:color="auto" w:fill="FFFFFF"/>
        </w:rPr>
        <w:t>„Strukturální témata minulého roku jsou podle všeho stále aktuální. Komercializace technologií umělé inteligence se bude nadále rozvíjet rychlým tempem, vlády lijí miliardy do modernizace elektrických sítí a zdravotnictví je stále dobrým defenzivním i dlouhodobým tématem. Nacházíme se ve středu cyklu či na jeho konci, s některými klíčovými neznámými. To obvykle přináší pozitivní výnosy, i když s vyšší volatilitou.  Stále věříme, že „měkké přistání“ je nejpravděpodobnější, ale když jste portfolio manažer, je důležité být pohotový a využít příležitostí, jakmile se objeví.“</w:t>
      </w: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r>
        <w:t>gsm: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w:t>
      </w:r>
      <w:r>
        <w:lastRenderedPageBreak/>
        <w:t>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382E6526"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25012618" w:rsidR="00D20058" w:rsidRDefault="00716630" w:rsidP="00DF76B9">
      <w:pPr>
        <w:pStyle w:val="F2-zkladn"/>
      </w:pPr>
      <w:r w:rsidRPr="00716630">
        <w:rPr>
          <w:lang w:val="de-AT"/>
        </w:rPr>
        <w:t>MKAT12548</w:t>
      </w: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7C2BF" w14:textId="77777777" w:rsidR="005D7B29" w:rsidRDefault="005D7B29">
      <w:r>
        <w:separator/>
      </w:r>
    </w:p>
  </w:endnote>
  <w:endnote w:type="continuationSeparator" w:id="0">
    <w:p w14:paraId="4C2321FC" w14:textId="77777777" w:rsidR="005D7B29" w:rsidRDefault="005D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CCC41" w14:textId="77777777" w:rsidR="005D7B29" w:rsidRDefault="005D7B29">
      <w:r>
        <w:separator/>
      </w:r>
    </w:p>
  </w:footnote>
  <w:footnote w:type="continuationSeparator" w:id="0">
    <w:p w14:paraId="0FEEB3FA" w14:textId="77777777" w:rsidR="005D7B29" w:rsidRDefault="005D7B29">
      <w:r>
        <w:continuationSeparator/>
      </w:r>
    </w:p>
  </w:footnote>
  <w:footnote w:type="continuationNotice" w:id="1">
    <w:p w14:paraId="3AD0E33E" w14:textId="77777777" w:rsidR="005D7B29" w:rsidRDefault="005D7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80584A"/>
    <w:multiLevelType w:val="hybridMultilevel"/>
    <w:tmpl w:val="91F4DF5C"/>
    <w:lvl w:ilvl="0" w:tplc="7B5E5E7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3123DA"/>
    <w:multiLevelType w:val="hybridMultilevel"/>
    <w:tmpl w:val="113EF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4"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4"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6"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8"/>
  </w:num>
  <w:num w:numId="2" w16cid:durableId="146671352">
    <w:abstractNumId w:val="35"/>
  </w:num>
  <w:num w:numId="3" w16cid:durableId="1266381172">
    <w:abstractNumId w:val="42"/>
  </w:num>
  <w:num w:numId="4" w16cid:durableId="1719279861">
    <w:abstractNumId w:val="25"/>
  </w:num>
  <w:num w:numId="5" w16cid:durableId="118620334">
    <w:abstractNumId w:val="27"/>
  </w:num>
  <w:num w:numId="6" w16cid:durableId="1824814676">
    <w:abstractNumId w:val="23"/>
  </w:num>
  <w:num w:numId="7" w16cid:durableId="1926299718">
    <w:abstractNumId w:val="40"/>
  </w:num>
  <w:num w:numId="8" w16cid:durableId="1498184102">
    <w:abstractNumId w:val="29"/>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6"/>
  </w:num>
  <w:num w:numId="21" w16cid:durableId="1100370002">
    <w:abstractNumId w:val="33"/>
  </w:num>
  <w:num w:numId="22" w16cid:durableId="2069836537">
    <w:abstractNumId w:val="12"/>
  </w:num>
  <w:num w:numId="23" w16cid:durableId="1663701074">
    <w:abstractNumId w:val="10"/>
  </w:num>
  <w:num w:numId="24" w16cid:durableId="661811107">
    <w:abstractNumId w:val="13"/>
  </w:num>
  <w:num w:numId="25" w16cid:durableId="367528897">
    <w:abstractNumId w:val="21"/>
  </w:num>
  <w:num w:numId="26" w16cid:durableId="66655553">
    <w:abstractNumId w:val="39"/>
  </w:num>
  <w:num w:numId="27" w16cid:durableId="1412049229">
    <w:abstractNumId w:val="32"/>
  </w:num>
  <w:num w:numId="28" w16cid:durableId="1854563770">
    <w:abstractNumId w:val="22"/>
  </w:num>
  <w:num w:numId="29" w16cid:durableId="1511022718">
    <w:abstractNumId w:val="24"/>
  </w:num>
  <w:num w:numId="30" w16cid:durableId="189878341">
    <w:abstractNumId w:val="26"/>
  </w:num>
  <w:num w:numId="31" w16cid:durableId="408891146">
    <w:abstractNumId w:val="34"/>
  </w:num>
  <w:num w:numId="32" w16cid:durableId="668292118">
    <w:abstractNumId w:val="43"/>
  </w:num>
  <w:num w:numId="33" w16cid:durableId="1545678938">
    <w:abstractNumId w:val="31"/>
  </w:num>
  <w:num w:numId="34" w16cid:durableId="334190881">
    <w:abstractNumId w:val="41"/>
  </w:num>
  <w:num w:numId="35" w16cid:durableId="867832294">
    <w:abstractNumId w:val="45"/>
  </w:num>
  <w:num w:numId="36" w16cid:durableId="1707019958">
    <w:abstractNumId w:val="15"/>
  </w:num>
  <w:num w:numId="37" w16cid:durableId="1229464119">
    <w:abstractNumId w:val="38"/>
  </w:num>
  <w:num w:numId="38" w16cid:durableId="1404453976">
    <w:abstractNumId w:val="17"/>
  </w:num>
  <w:num w:numId="39" w16cid:durableId="639572714">
    <w:abstractNumId w:val="30"/>
  </w:num>
  <w:num w:numId="40" w16cid:durableId="1181239656">
    <w:abstractNumId w:val="36"/>
  </w:num>
  <w:num w:numId="41" w16cid:durableId="1776094729">
    <w:abstractNumId w:val="44"/>
  </w:num>
  <w:num w:numId="42" w16cid:durableId="58788658">
    <w:abstractNumId w:val="28"/>
  </w:num>
  <w:num w:numId="43" w16cid:durableId="1389382411">
    <w:abstractNumId w:val="37"/>
  </w:num>
  <w:num w:numId="44" w16cid:durableId="608975387">
    <w:abstractNumId w:val="20"/>
  </w:num>
  <w:num w:numId="45" w16cid:durableId="1168326323">
    <w:abstractNumId w:val="19"/>
  </w:num>
  <w:num w:numId="46" w16cid:durableId="38530263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D5AA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228F"/>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4F9E"/>
    <w:rsid w:val="001C5A91"/>
    <w:rsid w:val="001C5DB0"/>
    <w:rsid w:val="001C6F31"/>
    <w:rsid w:val="001D032B"/>
    <w:rsid w:val="001D0D99"/>
    <w:rsid w:val="001D1225"/>
    <w:rsid w:val="001D1343"/>
    <w:rsid w:val="001D4B56"/>
    <w:rsid w:val="001D4CF8"/>
    <w:rsid w:val="001D5163"/>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6D1"/>
    <w:rsid w:val="002F0500"/>
    <w:rsid w:val="002F1160"/>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43C4"/>
    <w:rsid w:val="00334497"/>
    <w:rsid w:val="00340CA2"/>
    <w:rsid w:val="00341E98"/>
    <w:rsid w:val="00344296"/>
    <w:rsid w:val="00346522"/>
    <w:rsid w:val="00347B43"/>
    <w:rsid w:val="0035034F"/>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205"/>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B29"/>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6290"/>
    <w:rsid w:val="00670027"/>
    <w:rsid w:val="0067109A"/>
    <w:rsid w:val="00671D22"/>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1DF"/>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B47"/>
    <w:rsid w:val="006E78BA"/>
    <w:rsid w:val="006E7DAC"/>
    <w:rsid w:val="006F1295"/>
    <w:rsid w:val="006F15CC"/>
    <w:rsid w:val="006F1CCA"/>
    <w:rsid w:val="006F2C0E"/>
    <w:rsid w:val="006F4F09"/>
    <w:rsid w:val="006F508D"/>
    <w:rsid w:val="006F51CE"/>
    <w:rsid w:val="006F640B"/>
    <w:rsid w:val="0070043C"/>
    <w:rsid w:val="007046FB"/>
    <w:rsid w:val="00705A61"/>
    <w:rsid w:val="00710424"/>
    <w:rsid w:val="007109F6"/>
    <w:rsid w:val="007133CB"/>
    <w:rsid w:val="00713F83"/>
    <w:rsid w:val="00714ED2"/>
    <w:rsid w:val="00715F45"/>
    <w:rsid w:val="00716604"/>
    <w:rsid w:val="00716630"/>
    <w:rsid w:val="0071719A"/>
    <w:rsid w:val="0071726D"/>
    <w:rsid w:val="007176A7"/>
    <w:rsid w:val="007178FF"/>
    <w:rsid w:val="007204B4"/>
    <w:rsid w:val="00720781"/>
    <w:rsid w:val="0072091B"/>
    <w:rsid w:val="00722B07"/>
    <w:rsid w:val="00722BC9"/>
    <w:rsid w:val="00723632"/>
    <w:rsid w:val="007238DA"/>
    <w:rsid w:val="00725052"/>
    <w:rsid w:val="00725342"/>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6B8"/>
    <w:rsid w:val="007E0A4B"/>
    <w:rsid w:val="007E2841"/>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0A09"/>
    <w:rsid w:val="008014EC"/>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170"/>
    <w:rsid w:val="0095420F"/>
    <w:rsid w:val="00954CC0"/>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772"/>
    <w:rsid w:val="00BC4EF0"/>
    <w:rsid w:val="00BC6E99"/>
    <w:rsid w:val="00BC7C00"/>
    <w:rsid w:val="00BD0CA7"/>
    <w:rsid w:val="00BD1EFB"/>
    <w:rsid w:val="00BD223A"/>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0D0"/>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8117</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9474</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2024-10-07T09:04:00Z</dcterms:created>
  <dcterms:modified xsi:type="dcterms:W3CDTF">2024-10-08T09:10:00Z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